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Data</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All Hallows Catholic High School</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884</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12%</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Sept 2021 – August 24</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Dec 21</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Sept 22</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C Horrocks</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APupil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A Cooper</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 McKearney</w:t>
            </w:r>
          </w:p>
        </w:tc>
      </w:tr>
    </w:tbl>
    <w:bookmarkEnd w:id="2"/>
    <w:bookmarkEnd w:id="3"/>
    <w:bookmarkEnd w:id="4"/>
    <w:p>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Amount</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£104,036</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£ 11,165</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£0</w:t>
            </w:r>
          </w:p>
        </w:tc>
      </w:tr>
      <w:t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rPr>
              <w:t>Total budget for this academic year</w:t>
            </w:r>
          </w:p>
          <w:p>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£115,201</w:t>
            </w:r>
          </w:p>
        </w:tc>
      </w:tr>
    </w:tbl>
    <w:p>
      <w:pPr>
        <w:pStyle w:val="Heading1"/>
      </w:pPr>
      <w:r>
        <w:lastRenderedPageBreak/>
        <w:t>Part A: Pupil premium strategy plan</w:t>
      </w:r>
    </w:p>
    <w:p>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before="120"/>
              <w:rPr>
                <w:i/>
                <w:iCs/>
                <w:sz w:val="22"/>
              </w:rPr>
            </w:pPr>
            <w:r>
              <w:rPr>
                <w:i/>
                <w:iCs/>
                <w:sz w:val="22"/>
              </w:rPr>
              <w:t xml:space="preserve">At All Hallows we aim to support all pupils to make good progress in all aspects of the curriculum. We also encourage their personal and social development so that they can flourish as individuals and as learners. Our Mission Statement challenges us to ‘Grow together in the Spirit of Christ’s Love’ and this highlights to us the responsibility we have in supporting pupils who face the most challenging circumstances to have access to the resources and support which allows them to thrive in line with all pupils in our school. As with every child in our care, a child who is receipt of Pupil Premium Funding is valued, respected and entitled to develop to their full potential. </w:t>
            </w:r>
          </w:p>
          <w:p>
            <w:pPr>
              <w:spacing w:before="120"/>
              <w:rPr>
                <w:i/>
                <w:iCs/>
                <w:sz w:val="22"/>
              </w:rPr>
            </w:pPr>
            <w:r>
              <w:rPr>
                <w:i/>
                <w:iCs/>
                <w:sz w:val="22"/>
              </w:rPr>
              <w:t>At the heart of our approach are 3 key strands:</w:t>
            </w:r>
          </w:p>
          <w:p>
            <w:pPr>
              <w:pStyle w:val="ListParagraph"/>
              <w:numPr>
                <w:ilvl w:val="0"/>
                <w:numId w:val="14"/>
              </w:numPr>
              <w:spacing w:before="120"/>
              <w:rPr>
                <w:i/>
                <w:iCs/>
                <w:sz w:val="22"/>
              </w:rPr>
            </w:pPr>
            <w:r>
              <w:rPr>
                <w:i/>
                <w:iCs/>
                <w:sz w:val="22"/>
              </w:rPr>
              <w:t>Quality first teaching which focus’ on the needs of the individual learners and identifies where disadvantaged pupils may need greater levels of support</w:t>
            </w:r>
          </w:p>
          <w:p>
            <w:pPr>
              <w:pStyle w:val="ListParagraph"/>
              <w:numPr>
                <w:ilvl w:val="0"/>
                <w:numId w:val="14"/>
              </w:numPr>
              <w:spacing w:before="120"/>
              <w:rPr>
                <w:i/>
                <w:iCs/>
                <w:sz w:val="22"/>
              </w:rPr>
            </w:pPr>
            <w:r>
              <w:rPr>
                <w:i/>
                <w:iCs/>
                <w:sz w:val="22"/>
              </w:rPr>
              <w:t>A curriculum which is designed to provide opportunity and access so that disadvantaged pupils are expected and able to reach their full potential</w:t>
            </w:r>
          </w:p>
          <w:p>
            <w:pPr>
              <w:pStyle w:val="ListParagraph"/>
              <w:numPr>
                <w:ilvl w:val="0"/>
                <w:numId w:val="14"/>
              </w:numPr>
              <w:spacing w:before="120"/>
              <w:rPr>
                <w:i/>
                <w:iCs/>
                <w:sz w:val="22"/>
              </w:rPr>
            </w:pPr>
            <w:r>
              <w:rPr>
                <w:i/>
                <w:iCs/>
                <w:sz w:val="22"/>
              </w:rPr>
              <w:t xml:space="preserve">An enrichment programme and extra-curricular opportunities which is accessible to disadvantaged pupils which encourages the development of cultural capital, resilience and personal development. </w:t>
            </w:r>
          </w:p>
          <w:p>
            <w:pPr>
              <w:spacing w:before="120"/>
              <w:rPr>
                <w:i/>
                <w:iCs/>
                <w:sz w:val="22"/>
              </w:rPr>
            </w:pPr>
            <w:r>
              <w:rPr>
                <w:i/>
                <w:iCs/>
                <w:sz w:val="22"/>
              </w:rPr>
              <w:t xml:space="preserve">The context of our school is that 12% of our current pupils are in receipt of Pupil Premium Funding and 6% are currently in receipt of Free School Meals. We feel that sensitivity around addressing the needs of these pupils is an important aspect of the strategy. Pupil Voice would suggest that pupils do not want to be treated differently than other pupils and some pupils are even unaware that they are in receipt of the funding. </w:t>
            </w:r>
          </w:p>
          <w:p>
            <w:pPr>
              <w:spacing w:before="120"/>
              <w:rPr>
                <w:i/>
                <w:iCs/>
                <w:sz w:val="22"/>
              </w:rPr>
            </w:pPr>
            <w:r>
              <w:rPr>
                <w:i/>
                <w:iCs/>
                <w:sz w:val="22"/>
              </w:rPr>
              <w:t xml:space="preserve">Due to our low numbers, our Pupil Premium strategy has been designed to be individualised and bespoke. It allows for decisions around support to be made on an individual level, based on diagnostic assessment and with the knowledge and understanding of the individual’s needs and challenges. This allows us to track pupil progress, create high expectations in relation to attendance, behaviour and outcomes whilst providing early intervention where necessary. </w:t>
            </w:r>
          </w:p>
          <w:p>
            <w:pPr>
              <w:spacing w:before="120"/>
              <w:rPr>
                <w:i/>
                <w:iCs/>
                <w:sz w:val="22"/>
              </w:rPr>
            </w:pPr>
            <w:r>
              <w:rPr>
                <w:i/>
                <w:iCs/>
                <w:sz w:val="22"/>
              </w:rPr>
              <w:t>Pastoral care is essential to the success of the strategy and the Learning Managers work with curriculum staff to support recovery and resilience. Alongside supportive services such as the National Tutoring Service, School –Led Tutoring and Mental Health Services, we aim to use evidence based research from the EEF to target resources most effectively. We ultimately believe that there is a whole school responsibility for the high academic and non-academic outcomes of our disadvantaged pupils and that we work together effectively as a school community to aim to achieve these.</w:t>
            </w:r>
          </w:p>
        </w:tc>
      </w:tr>
    </w:tbl>
    <w:p>
      <w:pPr>
        <w:pStyle w:val="Heading2"/>
        <w:spacing w:before="600"/>
      </w:pPr>
      <w:r>
        <w:lastRenderedPageBreak/>
        <w:t>Challenges</w:t>
      </w:r>
    </w:p>
    <w:p>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78" w:type="pct"/>
        <w:tblCellMar>
          <w:left w:w="10" w:type="dxa"/>
          <w:right w:w="10" w:type="dxa"/>
        </w:tblCellMar>
        <w:tblLook w:val="04A0" w:firstRow="1" w:lastRow="0" w:firstColumn="1" w:lastColumn="0" w:noHBand="0" w:noVBand="1"/>
      </w:tblPr>
      <w:tblGrid>
        <w:gridCol w:w="1477"/>
        <w:gridCol w:w="8157"/>
      </w:tblGrid>
      <w:tr>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w:t>
            </w:r>
          </w:p>
        </w:tc>
        <w:tc>
          <w:tcPr>
            <w:tcW w:w="81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 xml:space="preserve">Detail of challenge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1</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sz w:val="22"/>
              </w:rPr>
            </w:pPr>
            <w:r>
              <w:rPr>
                <w:b/>
                <w:i/>
                <w:sz w:val="22"/>
              </w:rPr>
              <w:t>Raise achievement outcomes for Disadvantaged Pupils.</w:t>
            </w:r>
          </w:p>
          <w:p>
            <w:pPr>
              <w:pStyle w:val="TableRowCentered"/>
              <w:jc w:val="left"/>
              <w:rPr>
                <w:sz w:val="22"/>
              </w:rPr>
            </w:pPr>
            <w:r>
              <w:rPr>
                <w:sz w:val="22"/>
              </w:rPr>
              <w:t xml:space="preserve">Disadvantaged pupils enter All Hallows with generally lower attainment levels than their peers. Average SATs equivalent entry in 2021 for Non-disadvantaged was 105 compared to 99 for the disadvantaged. </w:t>
            </w:r>
          </w:p>
          <w:p>
            <w:pPr>
              <w:pStyle w:val="TableRowCentered"/>
              <w:jc w:val="left"/>
              <w:rPr>
                <w:sz w:val="22"/>
              </w:rPr>
            </w:pPr>
            <w:r>
              <w:rPr>
                <w:sz w:val="22"/>
              </w:rPr>
              <w:t>58% of disadvantaged pupils failed to reach expected standard in Maths and 42% in English Reading</w:t>
            </w:r>
          </w:p>
          <w:p>
            <w:pPr>
              <w:pStyle w:val="TableRowCentered"/>
              <w:jc w:val="left"/>
            </w:pPr>
            <w:r>
              <w:rPr>
                <w:sz w:val="22"/>
              </w:rPr>
              <w:t xml:space="preserve">Outcomes in KS4 also show a significant gap with the leavers 2021 cohort achieving a A8 of 57.88 for the Non-disadvantaged compared to 51.5 for the disadvantaged.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2</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sz w:val="22"/>
                <w:szCs w:val="22"/>
              </w:rPr>
            </w:pPr>
            <w:r>
              <w:rPr>
                <w:b/>
                <w:i/>
                <w:sz w:val="22"/>
                <w:szCs w:val="22"/>
              </w:rPr>
              <w:t>Addressing Knowledge Gaps for Disadvantaged Pupils</w:t>
            </w:r>
          </w:p>
          <w:p>
            <w:pPr>
              <w:pStyle w:val="TableRowCentered"/>
              <w:jc w:val="left"/>
              <w:rPr>
                <w:sz w:val="22"/>
                <w:szCs w:val="22"/>
              </w:rPr>
            </w:pPr>
            <w:r>
              <w:rPr>
                <w:sz w:val="22"/>
                <w:szCs w:val="22"/>
              </w:rPr>
              <w:t xml:space="preserve">Our assessments, observations and discussions with pupils and families suggest that the education and wellbeing of many of our disadvantaged pupils has been impacted by partial school closures to a greater extent than for other pupils. These findings are backed by several national studies. </w:t>
            </w:r>
          </w:p>
          <w:p>
            <w:pPr>
              <w:pStyle w:val="TableRowCentered"/>
              <w:jc w:val="left"/>
              <w:rPr>
                <w:sz w:val="22"/>
                <w:szCs w:val="22"/>
              </w:rPr>
            </w:pPr>
            <w:r>
              <w:rPr>
                <w:sz w:val="22"/>
                <w:szCs w:val="22"/>
              </w:rPr>
              <w:t>We have identified key learning gaps with many disadvantaged pupils falling further behind in key subject areas.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3</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sz w:val="22"/>
                <w:szCs w:val="22"/>
              </w:rPr>
            </w:pPr>
            <w:r>
              <w:rPr>
                <w:b/>
                <w:i/>
                <w:sz w:val="22"/>
                <w:szCs w:val="22"/>
              </w:rPr>
              <w:t>Ensuring equitable access to equipment and educational resources</w:t>
            </w:r>
          </w:p>
          <w:p>
            <w:pPr>
              <w:pStyle w:val="TableRowCentered"/>
              <w:jc w:val="left"/>
              <w:rPr>
                <w:sz w:val="22"/>
                <w:szCs w:val="22"/>
              </w:rPr>
            </w:pPr>
            <w:r>
              <w:rPr>
                <w:sz w:val="22"/>
                <w:szCs w:val="22"/>
              </w:rPr>
              <w:t xml:space="preserve">Parental conversations highlight the need for additional support in the provision of ICT equipment, uniform, educational materials, printing and transport services.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4</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iCs/>
                <w:sz w:val="22"/>
              </w:rPr>
            </w:pPr>
            <w:r>
              <w:rPr>
                <w:b/>
                <w:i/>
                <w:iCs/>
                <w:sz w:val="22"/>
              </w:rPr>
              <w:t>Addressing persistent absence of Disadvantaged Pupils</w:t>
            </w:r>
          </w:p>
          <w:p>
            <w:pPr>
              <w:pStyle w:val="TableRowCentered"/>
              <w:jc w:val="left"/>
              <w:rPr>
                <w:iCs/>
                <w:sz w:val="22"/>
              </w:rPr>
            </w:pPr>
            <w:r>
              <w:rPr>
                <w:iCs/>
                <w:sz w:val="22"/>
              </w:rPr>
              <w:t xml:space="preserve">Data suggests that there is a disproportionate amount of our Persistent Absentees are disadvantaged. Overall absenteeism in Y9-11 year group cohorts is higher for disadvantaged pupils compared to non-disadvantaged. </w:t>
            </w:r>
          </w:p>
          <w:p>
            <w:pPr>
              <w:pStyle w:val="TableRowCentered"/>
              <w:jc w:val="left"/>
              <w:rPr>
                <w:iCs/>
                <w:sz w:val="22"/>
              </w:rPr>
            </w:pPr>
            <w:r>
              <w:rPr>
                <w:iCs/>
                <w:sz w:val="22"/>
              </w:rPr>
              <w:t xml:space="preserve">During the pandemic our internal monitoring systems would suggest that engagement of disadvantaged pupils was lower than non-disadvantaged even when significant efforts were made to address this issue.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bookmarkStart w:id="16" w:name="_Toc443397160"/>
            <w:r>
              <w:rPr>
                <w:sz w:val="22"/>
                <w:szCs w:val="22"/>
              </w:rPr>
              <w:t>5</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iCs/>
                <w:sz w:val="22"/>
              </w:rPr>
            </w:pPr>
            <w:r>
              <w:rPr>
                <w:b/>
                <w:i/>
                <w:iCs/>
                <w:sz w:val="22"/>
              </w:rPr>
              <w:t>Increase participation in enrichment and extra-curricular activities for Disadvantaged Pupils</w:t>
            </w:r>
          </w:p>
          <w:p>
            <w:pPr>
              <w:pStyle w:val="TableRowCentered"/>
              <w:jc w:val="left"/>
              <w:rPr>
                <w:iCs/>
                <w:sz w:val="22"/>
              </w:rPr>
            </w:pPr>
            <w:r>
              <w:rPr>
                <w:iCs/>
                <w:sz w:val="22"/>
              </w:rPr>
              <w:t xml:space="preserve">A significant proportion of our disadvantaged pupils are reluctant to participate in school visits, residential trips, intervention and voluntary clubs and activities. </w:t>
            </w:r>
          </w:p>
          <w:p>
            <w:pPr>
              <w:pStyle w:val="TableRowCentered"/>
              <w:jc w:val="left"/>
              <w:rPr>
                <w:iCs/>
                <w:sz w:val="22"/>
              </w:rPr>
            </w:pPr>
            <w:r>
              <w:rPr>
                <w:iCs/>
                <w:sz w:val="22"/>
              </w:rPr>
              <w:t>Data for recent Year 11 after school intervention indicated that 67% of disadvantaged engaged and attended at least one subject block of intervention.</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6</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iCs/>
                <w:sz w:val="22"/>
              </w:rPr>
            </w:pPr>
            <w:r>
              <w:rPr>
                <w:b/>
                <w:i/>
                <w:iCs/>
                <w:sz w:val="22"/>
              </w:rPr>
              <w:t>The provision of appropriate support for Social and Emotional Issues for Disadvantaged Pupils</w:t>
            </w:r>
          </w:p>
          <w:p>
            <w:pPr>
              <w:pStyle w:val="TableRowCentered"/>
              <w:jc w:val="left"/>
              <w:rPr>
                <w:iCs/>
                <w:sz w:val="22"/>
              </w:rPr>
            </w:pPr>
            <w:r>
              <w:rPr>
                <w:iCs/>
                <w:sz w:val="22"/>
              </w:rPr>
              <w:t xml:space="preserve">Our pastoral data shows that disadvantaged pupils returning after Covid School Closures have high prevalence of social and emotional issues compared to non-disadvantaged pupils. 15% of disadvantaged pupils have accessed support via our Pastoral Support Assistant, our school councillor or external mental health providers.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t>7</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iCs/>
                <w:sz w:val="22"/>
              </w:rPr>
            </w:pPr>
            <w:r>
              <w:rPr>
                <w:b/>
                <w:i/>
                <w:iCs/>
                <w:sz w:val="22"/>
              </w:rPr>
              <w:t>To improve and sustain the number of behavioural sanctions that all pupils receive particularly including the disadvantaged pupils</w:t>
            </w:r>
          </w:p>
          <w:p>
            <w:pPr>
              <w:pStyle w:val="TableRowCentered"/>
              <w:jc w:val="left"/>
              <w:rPr>
                <w:iCs/>
                <w:sz w:val="22"/>
              </w:rPr>
            </w:pPr>
            <w:r>
              <w:rPr>
                <w:iCs/>
                <w:sz w:val="22"/>
              </w:rPr>
              <w:lastRenderedPageBreak/>
              <w:t>Disadvantaged pupils consistently receive a disproportionate number of sanctions This includes low level behaviours, detentions and periods of isolation and exclusion.</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center"/>
              <w:rPr>
                <w:sz w:val="22"/>
                <w:szCs w:val="22"/>
              </w:rPr>
            </w:pPr>
            <w:r>
              <w:rPr>
                <w:sz w:val="22"/>
                <w:szCs w:val="22"/>
              </w:rPr>
              <w:lastRenderedPageBreak/>
              <w:t>8</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
                <w:iCs/>
                <w:sz w:val="22"/>
              </w:rPr>
            </w:pPr>
            <w:r>
              <w:rPr>
                <w:b/>
                <w:i/>
                <w:iCs/>
                <w:sz w:val="22"/>
              </w:rPr>
              <w:t>To provide personalised support for disadvantaged pupils to sustain the low number of NEET pupils and ensure appropriate pathways are sought.</w:t>
            </w:r>
          </w:p>
          <w:p>
            <w:pPr>
              <w:pStyle w:val="TableRowCentered"/>
              <w:ind w:left="0"/>
              <w:jc w:val="left"/>
              <w:rPr>
                <w:iCs/>
                <w:sz w:val="22"/>
              </w:rPr>
            </w:pPr>
            <w:r>
              <w:rPr>
                <w:iCs/>
                <w:sz w:val="22"/>
              </w:rPr>
              <w:t xml:space="preserve">Data shows that there was only one NEET pupil over the last two years. Destination data suggests that disadvantaged pupils go on to attend a wider number of tertiary colleges than non-disadvantaged pupils. Tracking data over a 3- year period is less conclusive as to the appropriateness of the destinations. </w:t>
            </w:r>
          </w:p>
        </w:tc>
      </w:tr>
    </w:tbl>
    <w:p>
      <w:pPr>
        <w:pStyle w:val="Heading2"/>
        <w:spacing w:before="600"/>
      </w:pPr>
      <w:r>
        <w:t xml:space="preserve">Intended outcomes </w:t>
      </w:r>
    </w:p>
    <w:p>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6372"/>
      </w:tblGrid>
      <w:tr>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Intended outcome</w:t>
            </w:r>
          </w:p>
        </w:tc>
        <w:tc>
          <w:tcPr>
            <w:tcW w:w="6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Success criteria</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iCs/>
                <w:sz w:val="22"/>
                <w:szCs w:val="22"/>
              </w:rPr>
              <w:t>Raised achievement for Disadvantaged Pupils</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Reduction in the proportion of disadvantaged pupils who remain below expected performance.</w:t>
            </w:r>
          </w:p>
          <w:p>
            <w:pPr>
              <w:pStyle w:val="TableRowCentered"/>
              <w:jc w:val="left"/>
              <w:rPr>
                <w:sz w:val="22"/>
                <w:szCs w:val="22"/>
              </w:rPr>
            </w:pPr>
            <w:r>
              <w:rPr>
                <w:sz w:val="22"/>
                <w:szCs w:val="22"/>
              </w:rPr>
              <w:t>Increased P8 score for disadvantaged pupils.</w:t>
            </w:r>
          </w:p>
          <w:p>
            <w:pPr>
              <w:pStyle w:val="TableRowCentered"/>
              <w:jc w:val="left"/>
              <w:rPr>
                <w:sz w:val="22"/>
                <w:szCs w:val="22"/>
              </w:rPr>
            </w:pPr>
            <w:r>
              <w:rPr>
                <w:sz w:val="22"/>
                <w:szCs w:val="22"/>
              </w:rPr>
              <w:t xml:space="preserve">Reduced gap between outcomes for Disadvantaged and Non-Disadvantaged </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szCs w:val="22"/>
              </w:rPr>
            </w:pPr>
            <w:r>
              <w:rPr>
                <w:b/>
                <w:sz w:val="22"/>
                <w:szCs w:val="22"/>
              </w:rPr>
              <w:t>Addressing Knowledge Gaps for Disadvantaged Pupils</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Diagnostic testing provides evidence that re-teaching and tutoring has been able to increase disadvantaged pupils knowledge and understanding of the wider curriculum. </w:t>
            </w:r>
          </w:p>
          <w:p>
            <w:pPr>
              <w:pStyle w:val="TableRowCentered"/>
              <w:jc w:val="left"/>
              <w:rPr>
                <w:sz w:val="22"/>
                <w:szCs w:val="22"/>
              </w:rPr>
            </w:pPr>
            <w:r>
              <w:rPr>
                <w:sz w:val="22"/>
                <w:szCs w:val="22"/>
              </w:rPr>
              <w:t>A greater proportion of pupils are on track to achieve their targets</w:t>
            </w:r>
          </w:p>
          <w:p>
            <w:pPr>
              <w:pStyle w:val="TableRowCentered"/>
              <w:jc w:val="left"/>
              <w:rPr>
                <w:sz w:val="22"/>
                <w:szCs w:val="22"/>
              </w:rPr>
            </w:pPr>
            <w:r>
              <w:rPr>
                <w:sz w:val="22"/>
                <w:szCs w:val="22"/>
              </w:rPr>
              <w:t>Pupil Voice indicates that intervention and  tutoring has increased the academic confidence of the pupils.</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sz w:val="22"/>
                <w:szCs w:val="22"/>
              </w:rPr>
            </w:pPr>
            <w:r>
              <w:rPr>
                <w:b/>
                <w:sz w:val="22"/>
                <w:szCs w:val="22"/>
              </w:rPr>
              <w:t>Ensuring equitable access to equipment and educational resources</w:t>
            </w:r>
          </w:p>
          <w:p>
            <w:pPr>
              <w:pStyle w:val="TableRow"/>
              <w:rPr>
                <w:sz w:val="22"/>
                <w:szCs w:val="22"/>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Ensuring that all disadvantaged pupils have access to all items of equipment and resources which are considered necessary to provide full access to the curriculum. Evidenced by pupil voice, parental surveys and evidence logs. </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Cs/>
                <w:sz w:val="22"/>
              </w:rPr>
            </w:pPr>
            <w:r>
              <w:rPr>
                <w:b/>
                <w:iCs/>
                <w:sz w:val="22"/>
              </w:rPr>
              <w:t>Addressing low attendance and persistent absence of Disadvantaged Pupils whilst improving overall attendance</w:t>
            </w:r>
          </w:p>
          <w:p>
            <w:pPr>
              <w:pStyle w:val="TableRow"/>
              <w:rPr>
                <w:sz w:val="22"/>
                <w:szCs w:val="22"/>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Ensuring a sustained post Covid attendance rate for all pupils of over 96%. Reducing the number of disadvantaged pupils who have less than 90% attendance. Narrowing the gap between the attendance of disadvantaged and non-disadvantaged pupils. An improvement in the attendance of ‘hard to reach’ persistent absentees. </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Cs/>
                <w:sz w:val="22"/>
              </w:rPr>
            </w:pPr>
            <w:r>
              <w:rPr>
                <w:b/>
                <w:iCs/>
                <w:sz w:val="22"/>
              </w:rPr>
              <w:t>Increase participation in enrichment and extra-curricular activities for Disadvantaged Pupils</w:t>
            </w:r>
          </w:p>
          <w:p>
            <w:pPr>
              <w:pStyle w:val="TableRow"/>
              <w:rPr>
                <w:sz w:val="22"/>
                <w:szCs w:val="22"/>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Monitoring of uptake by disadvantaged pupils will allow greater level of targeted support to those pupils who currently do not engage. Strategies to encourage participation can then be more effective and the overall success criteria being an increase in disadvantaged pupils becoming more involved in enrichment and extra-curricular activities. </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Cs/>
                <w:sz w:val="22"/>
              </w:rPr>
            </w:pPr>
            <w:r>
              <w:rPr>
                <w:b/>
                <w:iCs/>
                <w:sz w:val="22"/>
              </w:rPr>
              <w:t>The provision of appropriate support for Social and Emotional Issues for Disadvantaged Pupils</w:t>
            </w:r>
          </w:p>
          <w:p>
            <w:pPr>
              <w:pStyle w:val="TableRowCentered"/>
              <w:jc w:val="left"/>
              <w:rPr>
                <w:b/>
                <w:iCs/>
                <w:sz w:val="22"/>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lastRenderedPageBreak/>
              <w:t>Increasing and sustaining high levels of wellbeing. Evidenced by:</w:t>
            </w:r>
          </w:p>
          <w:p>
            <w:pPr>
              <w:pStyle w:val="TableRowCentered"/>
              <w:numPr>
                <w:ilvl w:val="0"/>
                <w:numId w:val="15"/>
              </w:numPr>
              <w:jc w:val="left"/>
              <w:rPr>
                <w:sz w:val="22"/>
                <w:szCs w:val="22"/>
              </w:rPr>
            </w:pPr>
            <w:r>
              <w:rPr>
                <w:sz w:val="22"/>
                <w:szCs w:val="22"/>
              </w:rPr>
              <w:t>Qualitative data from student voice, student and parent evidence and HOY monitoring</w:t>
            </w:r>
          </w:p>
          <w:p>
            <w:pPr>
              <w:pStyle w:val="TableRowCentered"/>
              <w:numPr>
                <w:ilvl w:val="0"/>
                <w:numId w:val="15"/>
              </w:numPr>
              <w:jc w:val="left"/>
              <w:rPr>
                <w:sz w:val="22"/>
                <w:szCs w:val="22"/>
              </w:rPr>
            </w:pPr>
            <w:r>
              <w:rPr>
                <w:sz w:val="22"/>
                <w:szCs w:val="22"/>
              </w:rPr>
              <w:lastRenderedPageBreak/>
              <w:t>Data indicating that a significant majority of our disadvantaged pupils benefit from engaging with our enrichment and extra-curricular provision.</w:t>
            </w:r>
          </w:p>
        </w:tc>
      </w:tr>
      <w:t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b/>
                <w:iCs/>
                <w:sz w:val="22"/>
              </w:rPr>
            </w:pPr>
            <w:r>
              <w:rPr>
                <w:b/>
                <w:iCs/>
                <w:sz w:val="22"/>
              </w:rPr>
              <w:lastRenderedPageBreak/>
              <w:t>To improve and sustain the number of behavioural sanctions that all pupils receive particularly including the disadvantaged pupils</w:t>
            </w:r>
          </w:p>
          <w:p>
            <w:pPr>
              <w:pStyle w:val="TableRowCentered"/>
              <w:jc w:val="left"/>
              <w:rPr>
                <w:b/>
                <w:iCs/>
                <w:sz w:val="22"/>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Reducing the number of Friday Night detentions particularly for disadvantaged pupils and to reduce the gap between the disadvantaged and non-disadvantaged in overall sanctions received.</w:t>
            </w:r>
          </w:p>
        </w:tc>
      </w:tr>
    </w:tbl>
    <w:p>
      <w:pPr>
        <w:pStyle w:val="Heading2"/>
      </w:pPr>
    </w:p>
    <w:p>
      <w:pPr>
        <w:suppressAutoHyphens w:val="0"/>
        <w:spacing w:after="0" w:line="240" w:lineRule="auto"/>
        <w:rPr>
          <w:b/>
          <w:color w:val="104F75"/>
          <w:sz w:val="32"/>
          <w:szCs w:val="32"/>
        </w:rPr>
      </w:pPr>
      <w:r>
        <w:br w:type="page"/>
      </w:r>
    </w:p>
    <w:p>
      <w:pPr>
        <w:pStyle w:val="Heading2"/>
      </w:pPr>
      <w:r>
        <w:lastRenderedPageBreak/>
        <w:t>Activity in this academic year</w:t>
      </w:r>
    </w:p>
    <w:p>
      <w:pPr>
        <w:spacing w:after="480"/>
      </w:pPr>
      <w:r>
        <w:t xml:space="preserve">This details how we intend to spend our pupil premium (and recovery premium funding) </w:t>
      </w:r>
      <w:r>
        <w:rPr>
          <w:b/>
          <w:bCs/>
        </w:rPr>
        <w:t>this academic year</w:t>
      </w:r>
      <w:r>
        <w:t xml:space="preserve"> to address the challenges listed above.</w:t>
      </w:r>
    </w:p>
    <w:p>
      <w:pPr>
        <w:pStyle w:val="Heading3"/>
      </w:pPr>
      <w:r>
        <w:t>Teaching (for example, CPD, recruitment and retention)</w:t>
      </w:r>
    </w:p>
    <w:p>
      <w:r>
        <w:t xml:space="preserve">Budgeted cost: </w:t>
      </w:r>
      <w:r>
        <w:rPr>
          <w:i/>
          <w:iCs/>
        </w:rPr>
        <w:t>£79,654</w:t>
      </w:r>
    </w:p>
    <w:tbl>
      <w:tblPr>
        <w:tblW w:w="5000" w:type="pct"/>
        <w:tblCellMar>
          <w:left w:w="10" w:type="dxa"/>
          <w:right w:w="10" w:type="dxa"/>
        </w:tblCellMar>
        <w:tblLook w:val="04A0" w:firstRow="1" w:lastRow="0" w:firstColumn="1" w:lastColumn="0" w:noHBand="0" w:noVBand="1"/>
      </w:tblPr>
      <w:tblGrid>
        <w:gridCol w:w="2688"/>
        <w:gridCol w:w="4820"/>
        <w:gridCol w:w="1978"/>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b/>
              </w:rPr>
            </w:pPr>
            <w:r>
              <w:rPr>
                <w:b/>
                <w:iCs/>
                <w:sz w:val="22"/>
                <w:szCs w:val="22"/>
              </w:rPr>
              <w:t>Purchase of diagnostic testing in English and Mathematics to support KS2-3 transition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‘Standardised tests can provide reliable insights into the specific strengths and weaknesses of individual pupils to help ensure they receive the correct additional support through interventions and teacher instruction’:</w:t>
            </w:r>
          </w:p>
          <w:p>
            <w:pPr>
              <w:pStyle w:val="TableRowCentered"/>
              <w:jc w:val="left"/>
              <w:rPr>
                <w:b/>
                <w:i/>
                <w:sz w:val="22"/>
              </w:rPr>
            </w:pPr>
            <w:r>
              <w:rPr>
                <w:b/>
                <w:i/>
                <w:sz w:val="22"/>
              </w:rPr>
              <w:t>Standardised Tests/ Assessing and Monitoring Pupil Progress/ Educational Endowment Foundation (EEF)</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 xml:space="preserve">Recruitment of a Literacy and Numeracy Co-ordinator to support who provide whole school cross curricular strategies to support reading and numeracy.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262626" w:themeColor="text1" w:themeTint="D9"/>
                <w:sz w:val="22"/>
              </w:rPr>
            </w:pPr>
            <w:r>
              <w:rPr>
                <w:color w:val="262626" w:themeColor="text1" w:themeTint="D9"/>
                <w:sz w:val="22"/>
              </w:rPr>
              <w:t>‘Literacy is key to learning across all subjects in secondary school and a strong predictor of outcomes in later life. Disciplinary literacy is an approach to improving literacy across the curriculum that emphasises the importance of subject specific support. All teachers should be supported to understand how to teach students to read, write and communicate effectively in their subjects. School leaders can help teachers by ensuring training related to literacy prioritises subject specificity over general approaches.</w:t>
            </w:r>
          </w:p>
          <w:p>
            <w:pPr>
              <w:pStyle w:val="TableRowCentered"/>
              <w:jc w:val="left"/>
              <w:rPr>
                <w:b/>
                <w:i/>
                <w:sz w:val="22"/>
              </w:rPr>
            </w:pPr>
            <w:r>
              <w:rPr>
                <w:b/>
                <w:i/>
                <w:sz w:val="22"/>
              </w:rPr>
              <w:t>EEF Improving Literacy guidance report (2019)</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 xml:space="preserve">CPD for HOD to include curriculum development in line with the Ofsted framework by developing metacognition, retrieval practice and self-regulation skills throughout the KS3 and KS4 curriculum.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262626" w:themeColor="text1" w:themeTint="D9"/>
                <w:sz w:val="22"/>
                <w:szCs w:val="30"/>
                <w:shd w:val="clear" w:color="auto" w:fill="FAFAFA"/>
              </w:rPr>
            </w:pPr>
            <w:r>
              <w:rPr>
                <w:rFonts w:cs="Arial"/>
                <w:color w:val="262626" w:themeColor="text1" w:themeTint="D9"/>
                <w:sz w:val="22"/>
                <w:szCs w:val="30"/>
                <w:shd w:val="clear" w:color="auto" w:fill="FAFAFA"/>
              </w:rPr>
              <w:t>‘The evidence indicates that explicitly teaching strategies to help plan, monitor and evaluate specific aspects of their learning can be effective’</w:t>
            </w:r>
          </w:p>
          <w:p>
            <w:pPr>
              <w:pStyle w:val="TableRowCentered"/>
              <w:jc w:val="left"/>
              <w:rPr>
                <w:rFonts w:ascii="Helvetica" w:hAnsi="Helvetica" w:cs="Helvetica"/>
                <w:color w:val="262626" w:themeColor="text1" w:themeTint="D9"/>
                <w:sz w:val="22"/>
                <w:szCs w:val="22"/>
                <w:shd w:val="clear" w:color="auto" w:fill="FAFAFA"/>
              </w:rPr>
            </w:pPr>
            <w:r>
              <w:rPr>
                <w:rFonts w:cs="Arial"/>
                <w:color w:val="262626" w:themeColor="text1" w:themeTint="D9"/>
                <w:sz w:val="22"/>
                <w:szCs w:val="22"/>
                <w:shd w:val="clear" w:color="auto" w:fill="FAFAFA"/>
              </w:rPr>
              <w:t>‘</w:t>
            </w:r>
            <w:r>
              <w:rPr>
                <w:rFonts w:ascii="Helvetica" w:hAnsi="Helvetica" w:cs="Helvetica"/>
                <w:color w:val="262626" w:themeColor="text1" w:themeTint="D9"/>
                <w:sz w:val="22"/>
                <w:szCs w:val="22"/>
                <w:shd w:val="clear" w:color="auto" w:fill="FAFAFA"/>
              </w:rPr>
              <w:t xml:space="preserve">The potential impact of metacognition and self-regulation approaches is high (+7 months additional progress) </w:t>
            </w:r>
          </w:p>
          <w:p>
            <w:pPr>
              <w:pStyle w:val="TableRowCentered"/>
              <w:jc w:val="left"/>
              <w:rPr>
                <w:rFonts w:cs="Arial"/>
                <w:b/>
                <w:i/>
                <w:color w:val="262626" w:themeColor="text1" w:themeTint="D9"/>
                <w:sz w:val="22"/>
                <w:szCs w:val="22"/>
              </w:rPr>
            </w:pPr>
            <w:r>
              <w:rPr>
                <w:rFonts w:ascii="Helvetica" w:hAnsi="Helvetica" w:cs="Helvetica"/>
                <w:b/>
                <w:i/>
                <w:color w:val="262626" w:themeColor="text1" w:themeTint="D9"/>
                <w:sz w:val="22"/>
                <w:szCs w:val="22"/>
                <w:shd w:val="clear" w:color="auto" w:fill="FAFAFA"/>
              </w:rPr>
              <w:t>EEF Toolkit: Metacognition and Self-Regulation</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w:t>
            </w:r>
          </w:p>
        </w:tc>
      </w:tr>
      <w:tr>
        <w:trPr>
          <w:trHeight w:val="353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lastRenderedPageBreak/>
              <w:t>Whole school CPD on identifying and teaching pupils with SEND eg. Autism</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Some disadvantaged pupils also have SEND needs. This year’s whole school appraisal target is to develop the curriculum with particular reference to SEND needs. Specific external CPD for all staff will be provided to develop their understanding and needs of these pupils. </w:t>
            </w:r>
          </w:p>
          <w:p>
            <w:pPr>
              <w:pStyle w:val="TableRowCentered"/>
              <w:jc w:val="left"/>
              <w:rPr>
                <w:rFonts w:cs="Arial"/>
                <w:i/>
                <w:color w:val="595959" w:themeColor="text1" w:themeTint="A6"/>
                <w:sz w:val="22"/>
                <w:szCs w:val="22"/>
                <w:shd w:val="clear" w:color="auto" w:fill="FFFFFF"/>
              </w:rPr>
            </w:pPr>
            <w:r>
              <w:rPr>
                <w:rFonts w:cs="Arial"/>
                <w:i/>
                <w:color w:val="595959" w:themeColor="text1" w:themeTint="A6"/>
                <w:sz w:val="22"/>
                <w:szCs w:val="22"/>
              </w:rPr>
              <w:t>“</w:t>
            </w:r>
            <w:r>
              <w:rPr>
                <w:rFonts w:cs="Arial"/>
                <w:i/>
                <w:color w:val="595959" w:themeColor="text1" w:themeTint="A6"/>
                <w:sz w:val="22"/>
                <w:szCs w:val="22"/>
                <w:shd w:val="clear" w:color="auto" w:fill="FFFFFF"/>
              </w:rPr>
              <w:t>Many vulnerable pupils are more likely to be subject to SEND “under-identification”</w:t>
            </w:r>
          </w:p>
          <w:p>
            <w:pPr>
              <w:pStyle w:val="TableRowCentered"/>
              <w:jc w:val="left"/>
              <w:rPr>
                <w:rFonts w:cs="Arial"/>
                <w:b/>
                <w:i/>
                <w:color w:val="000000"/>
                <w:kern w:val="36"/>
                <w:sz w:val="20"/>
                <w:szCs w:val="22"/>
              </w:rPr>
            </w:pPr>
            <w:r>
              <w:rPr>
                <w:rFonts w:cs="Arial"/>
                <w:b/>
                <w:i/>
                <w:color w:val="000000"/>
                <w:kern w:val="36"/>
                <w:sz w:val="20"/>
                <w:szCs w:val="22"/>
              </w:rPr>
              <w:t>Identifying pupils with special educational needs and disabilities. Education Policy Institute funded by the Nuffield Institute</w:t>
            </w:r>
          </w:p>
          <w:p>
            <w:pPr>
              <w:shd w:val="clear" w:color="auto" w:fill="F1F1F1"/>
              <w:suppressAutoHyphens w:val="0"/>
              <w:autoSpaceDN/>
              <w:spacing w:after="600" w:line="240" w:lineRule="auto"/>
              <w:outlineLvl w:val="0"/>
              <w:rPr>
                <w:rFonts w:cs="Arial"/>
                <w:b/>
                <w:i/>
                <w:color w:val="000000"/>
                <w:kern w:val="36"/>
                <w:sz w:val="22"/>
                <w:szCs w:val="22"/>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1,2,3,7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CPD and Departmental Support for Online Learning through MS Teams and Google Classroom</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auto"/>
                <w:sz w:val="22"/>
                <w:szCs w:val="22"/>
                <w:shd w:val="clear" w:color="auto" w:fill="FFFFFF"/>
              </w:rPr>
            </w:pPr>
            <w:r>
              <w:rPr>
                <w:rFonts w:cs="Arial"/>
                <w:color w:val="auto"/>
                <w:sz w:val="22"/>
                <w:szCs w:val="22"/>
                <w:shd w:val="clear" w:color="auto" w:fill="FFFFFF"/>
              </w:rPr>
              <w:t>As long as pupils have access to ICT resources a blended curriculum can provide greater opportunities for flexible learning and 24/7 learning.</w:t>
            </w:r>
          </w:p>
          <w:p>
            <w:pPr>
              <w:pStyle w:val="TableRowCentered"/>
              <w:jc w:val="left"/>
              <w:rPr>
                <w:rFonts w:cs="Arial"/>
                <w:i/>
                <w:color w:val="404040" w:themeColor="text1" w:themeTint="BF"/>
                <w:sz w:val="22"/>
                <w:szCs w:val="22"/>
                <w:shd w:val="clear" w:color="auto" w:fill="FFFFFF"/>
              </w:rPr>
            </w:pPr>
            <w:r>
              <w:rPr>
                <w:rFonts w:cs="Arial"/>
                <w:color w:val="404040" w:themeColor="text1" w:themeTint="BF"/>
                <w:sz w:val="22"/>
                <w:szCs w:val="29"/>
                <w:shd w:val="clear" w:color="auto" w:fill="FFFFFF"/>
              </w:rPr>
              <w:t>‘</w:t>
            </w:r>
            <w:r>
              <w:rPr>
                <w:rFonts w:cs="Arial"/>
                <w:i/>
                <w:color w:val="404040" w:themeColor="text1" w:themeTint="BF"/>
                <w:sz w:val="22"/>
                <w:szCs w:val="22"/>
                <w:shd w:val="clear" w:color="auto" w:fill="FFFFFF"/>
              </w:rPr>
              <w:t>Leaders in these schools did not see remote education as a barrier to curriculum delivery. They thought the learning opportunities, level of engagement and expectations should be the same regardless, through a centralised, aligned curriculum.’</w:t>
            </w:r>
          </w:p>
          <w:p>
            <w:pPr>
              <w:pStyle w:val="TableRowCentered"/>
              <w:jc w:val="left"/>
              <w:rPr>
                <w:rFonts w:cs="Arial"/>
                <w:b/>
                <w:i/>
                <w:color w:val="auto"/>
                <w:sz w:val="22"/>
                <w:szCs w:val="22"/>
                <w:shd w:val="clear" w:color="auto" w:fill="FFFFFF"/>
              </w:rPr>
            </w:pPr>
            <w:r>
              <w:rPr>
                <w:rFonts w:cs="Arial"/>
                <w:b/>
                <w:i/>
                <w:color w:val="auto"/>
                <w:sz w:val="22"/>
                <w:szCs w:val="22"/>
                <w:shd w:val="clear" w:color="auto" w:fill="FFFFFF"/>
              </w:rPr>
              <w:t>DfE Remote Education Research Feb 21</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1,2,3</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Develop Quality Assurance Strategies to improve the amount of Quality First Teaching</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
                <w:sz w:val="22"/>
              </w:rPr>
            </w:pPr>
            <w:r>
              <w:rPr>
                <w:i/>
                <w:sz w:val="22"/>
              </w:rPr>
              <w:t xml:space="preserve"> ‘The best available evidence indicates that great teaching is the most important lever schools have to improve pupil attainment. Ensuring that every teacher is supported in delivering high quality teaching is essential for achieving the best outcome for all pupils, particularly the most disadvantaged amongst them’ </w:t>
            </w:r>
          </w:p>
          <w:p>
            <w:pPr>
              <w:pStyle w:val="TableRowCentered"/>
              <w:jc w:val="left"/>
              <w:rPr>
                <w:b/>
                <w:i/>
                <w:sz w:val="22"/>
              </w:rPr>
            </w:pPr>
            <w:r>
              <w:rPr>
                <w:b/>
                <w:i/>
                <w:sz w:val="22"/>
              </w:rPr>
              <w:t>EEF Toolkit: High Quality Teaching</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1,2,3</w:t>
            </w:r>
          </w:p>
        </w:tc>
      </w:tr>
    </w:tbl>
    <w:p>
      <w:pPr>
        <w:keepNext/>
        <w:spacing w:after="60"/>
        <w:outlineLvl w:val="1"/>
      </w:pPr>
    </w:p>
    <w:p>
      <w:pPr>
        <w:rPr>
          <w:b/>
          <w:bCs/>
          <w:color w:val="104F75"/>
          <w:sz w:val="28"/>
          <w:szCs w:val="28"/>
        </w:rPr>
      </w:pPr>
      <w:r>
        <w:rPr>
          <w:b/>
          <w:bCs/>
          <w:color w:val="104F75"/>
          <w:sz w:val="28"/>
          <w:szCs w:val="28"/>
        </w:rPr>
        <w:t xml:space="preserve">Targeted academic support (for example, tutoring, one-to-one support structured interventions) </w:t>
      </w:r>
      <w:bookmarkStart w:id="17" w:name="_GoBack"/>
      <w:bookmarkEnd w:id="17"/>
    </w:p>
    <w:p>
      <w:r>
        <w:t>Budgeted cost: £</w:t>
      </w:r>
      <w:r>
        <w:rPr>
          <w:i/>
          <w:iCs/>
        </w:rPr>
        <w:t>13,854</w:t>
      </w:r>
    </w:p>
    <w:tbl>
      <w:tblPr>
        <w:tblW w:w="5000" w:type="pct"/>
        <w:tblCellMar>
          <w:left w:w="10" w:type="dxa"/>
          <w:right w:w="10" w:type="dxa"/>
        </w:tblCellMar>
        <w:tblLook w:val="04A0" w:firstRow="1" w:lastRow="0" w:firstColumn="1" w:lastColumn="0" w:noHBand="0" w:noVBand="1"/>
      </w:tblPr>
      <w:tblGrid>
        <w:gridCol w:w="2688"/>
        <w:gridCol w:w="4678"/>
        <w:gridCol w:w="2120"/>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b/>
              </w:rPr>
            </w:pPr>
            <w:r>
              <w:rPr>
                <w:b/>
                <w:iCs/>
                <w:sz w:val="22"/>
                <w:szCs w:val="22"/>
              </w:rPr>
              <w:t>Focus on the teaching of phonics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auto"/>
                <w:sz w:val="22"/>
                <w:szCs w:val="30"/>
                <w:shd w:val="clear" w:color="auto" w:fill="FFFFFF"/>
              </w:rPr>
            </w:pPr>
            <w:r>
              <w:rPr>
                <w:rFonts w:cs="Arial"/>
                <w:color w:val="auto"/>
                <w:sz w:val="22"/>
                <w:szCs w:val="30"/>
                <w:shd w:val="clear" w:color="auto" w:fill="FFFFFF"/>
              </w:rPr>
              <w:t xml:space="preserve">Using specialist phonics teaching to support weaker readers in Year 7 and 8. </w:t>
            </w:r>
          </w:p>
          <w:p>
            <w:pPr>
              <w:pStyle w:val="TableRowCentered"/>
              <w:jc w:val="left"/>
              <w:rPr>
                <w:rFonts w:cs="Arial"/>
                <w:color w:val="808080" w:themeColor="background1" w:themeShade="80"/>
                <w:sz w:val="22"/>
                <w:szCs w:val="30"/>
                <w:shd w:val="clear" w:color="auto" w:fill="FFFFFF"/>
              </w:rPr>
            </w:pPr>
            <w:r>
              <w:rPr>
                <w:rFonts w:cs="Arial"/>
                <w:i/>
                <w:color w:val="808080" w:themeColor="background1" w:themeShade="80"/>
                <w:sz w:val="22"/>
                <w:szCs w:val="30"/>
                <w:shd w:val="clear" w:color="auto" w:fill="FFFFFF"/>
              </w:rPr>
              <w:t>‘If an older reader is struggling with decoding, phonics approaches will still be appropriate.</w:t>
            </w:r>
            <w:r>
              <w:rPr>
                <w:rFonts w:cs="Arial"/>
                <w:color w:val="808080" w:themeColor="background1" w:themeShade="80"/>
                <w:sz w:val="22"/>
                <w:szCs w:val="30"/>
                <w:shd w:val="clear" w:color="auto" w:fill="FFFFFF"/>
              </w:rPr>
              <w:t xml:space="preserve">’ </w:t>
            </w:r>
          </w:p>
          <w:p>
            <w:pPr>
              <w:pStyle w:val="TableRowCentered"/>
              <w:jc w:val="left"/>
              <w:rPr>
                <w:rFonts w:cs="Arial"/>
                <w:sz w:val="22"/>
              </w:rPr>
            </w:pPr>
            <w:r>
              <w:rPr>
                <w:rFonts w:cs="Arial"/>
                <w:b/>
                <w:i/>
                <w:color w:val="263238"/>
                <w:sz w:val="22"/>
                <w:szCs w:val="30"/>
                <w:shd w:val="clear" w:color="auto" w:fill="FFFFFF"/>
              </w:rPr>
              <w:t>EEF Toolkit: Phonics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lastRenderedPageBreak/>
              <w:t>Year 11 extended school day (optional)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auto"/>
                <w:sz w:val="22"/>
                <w:szCs w:val="26"/>
                <w:shd w:val="clear" w:color="auto" w:fill="FFFFFF"/>
              </w:rPr>
            </w:pPr>
            <w:r>
              <w:rPr>
                <w:rFonts w:cs="Arial"/>
                <w:color w:val="auto"/>
                <w:sz w:val="22"/>
                <w:szCs w:val="26"/>
                <w:shd w:val="clear" w:color="auto" w:fill="FFFFFF"/>
              </w:rPr>
              <w:t>Creation of a Lesson 7 in all viable subjects. All disadvantaged pupils will be encouraged to attend and transport costs covered if required.</w:t>
            </w:r>
          </w:p>
          <w:p>
            <w:pPr>
              <w:pStyle w:val="TableRowCentered"/>
              <w:jc w:val="left"/>
              <w:rPr>
                <w:rFonts w:cs="Arial"/>
                <w:b/>
                <w:sz w:val="22"/>
              </w:rPr>
            </w:pPr>
            <w:r>
              <w:rPr>
                <w:rFonts w:cs="Arial"/>
                <w:i/>
                <w:color w:val="404040" w:themeColor="text1" w:themeTint="BF"/>
                <w:sz w:val="22"/>
                <w:szCs w:val="26"/>
                <w:shd w:val="clear" w:color="auto" w:fill="FFFFFF"/>
              </w:rPr>
              <w:t>“After school programmes with a</w:t>
            </w:r>
            <w:r>
              <w:rPr>
                <w:rFonts w:cs="Arial"/>
                <w:b/>
                <w:i/>
                <w:color w:val="404040" w:themeColor="text1" w:themeTint="BF"/>
                <w:sz w:val="22"/>
                <w:szCs w:val="26"/>
                <w:shd w:val="clear" w:color="auto" w:fill="FFFFFF"/>
              </w:rPr>
              <w:t> </w:t>
            </w:r>
            <w:r>
              <w:rPr>
                <w:rStyle w:val="Strong"/>
                <w:rFonts w:cs="Arial"/>
                <w:b w:val="0"/>
                <w:i/>
                <w:color w:val="404040" w:themeColor="text1" w:themeTint="BF"/>
                <w:sz w:val="22"/>
                <w:szCs w:val="26"/>
                <w:shd w:val="clear" w:color="auto" w:fill="FFFFFF"/>
              </w:rPr>
              <w:t>clear structure, a strong link to the curriculum, and well-qualified and well-trained staff are more clearly linked to academic benefits than other types of extended hours’ provision.</w:t>
            </w:r>
            <w:r>
              <w:rPr>
                <w:rFonts w:cs="Arial"/>
                <w:b/>
                <w:i/>
                <w:color w:val="404040" w:themeColor="text1" w:themeTint="BF"/>
                <w:sz w:val="22"/>
                <w:szCs w:val="26"/>
                <w:shd w:val="clear" w:color="auto" w:fill="FFFFFF"/>
              </w:rPr>
              <w:t>”</w:t>
            </w:r>
            <w:r>
              <w:rPr>
                <w:rFonts w:cs="Arial"/>
                <w:b/>
                <w:color w:val="404040" w:themeColor="text1" w:themeTint="BF"/>
                <w:sz w:val="22"/>
                <w:szCs w:val="26"/>
                <w:shd w:val="clear" w:color="auto" w:fill="FFFFFF"/>
              </w:rPr>
              <w:t xml:space="preserve"> </w:t>
            </w:r>
            <w:r>
              <w:rPr>
                <w:rFonts w:cs="Arial"/>
                <w:b/>
                <w:color w:val="auto"/>
                <w:sz w:val="22"/>
                <w:szCs w:val="26"/>
                <w:shd w:val="clear" w:color="auto" w:fill="FFFFFF"/>
              </w:rPr>
              <w:t>EEF Toolkit: Extending School Time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1,2,5</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Year 7 and 8 Literacy/Numeracy, cross curriculum and improved resilience project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Two after school hours’ projects supporting the learning of literacy and numeracy but also involving team building, personal resilience, coaching and cross curricular skills such as problem solving. Part of the project will be offsite. This is being offered to all disadvantaged pupils in Year 7 and 8</w:t>
            </w:r>
          </w:p>
          <w:p>
            <w:pPr>
              <w:pStyle w:val="TableRowCentered"/>
              <w:jc w:val="left"/>
              <w:rPr>
                <w:i/>
                <w:color w:val="404040" w:themeColor="text1" w:themeTint="BF"/>
                <w:sz w:val="22"/>
              </w:rPr>
            </w:pPr>
            <w:r>
              <w:rPr>
                <w:i/>
                <w:color w:val="404040" w:themeColor="text1" w:themeTint="BF"/>
                <w:sz w:val="22"/>
              </w:rPr>
              <w:t>‘Some pupils will require additional support alongside high quality teaching in order to make good progress. The evidence suggests that small group and one to one interventions can be a powerful tool for supporting these pupils when used carefully’</w:t>
            </w:r>
          </w:p>
          <w:p>
            <w:pPr>
              <w:pStyle w:val="TableRowCentered"/>
              <w:jc w:val="left"/>
              <w:rPr>
                <w:b/>
                <w:i/>
                <w:sz w:val="22"/>
              </w:rPr>
            </w:pPr>
            <w:r>
              <w:rPr>
                <w:b/>
                <w:i/>
                <w:sz w:val="22"/>
              </w:rPr>
              <w:t>EEF Toolkit: Targeted Academic Support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1,2,5,6,7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 xml:space="preserve">One to One Tutoring – Bespoke online tutoring for disadvantaged and vulnerable pupils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Focused on Year 10. Offered to all disadvantaged pupils as an add on to the school day. This will take place in the home environment and monitored by the tutoring service as well as by the Maths, English and Science department in school. It is designed to re-teach and secure learning where gaps exist.</w:t>
            </w:r>
          </w:p>
          <w:p>
            <w:pPr>
              <w:pStyle w:val="TableRowCentered"/>
              <w:jc w:val="left"/>
              <w:rPr>
                <w:b/>
                <w:i/>
                <w:sz w:val="22"/>
              </w:rPr>
            </w:pPr>
            <w:r>
              <w:rPr>
                <w:b/>
                <w:i/>
                <w:sz w:val="22"/>
              </w:rPr>
              <w:t>‘</w:t>
            </w:r>
            <w:r>
              <w:rPr>
                <w:i/>
                <w:color w:val="595959" w:themeColor="text1" w:themeTint="A6"/>
                <w:sz w:val="22"/>
              </w:rPr>
              <w:t>Small group tuition can improve learning outcomes by up 4 months’</w:t>
            </w:r>
          </w:p>
          <w:p>
            <w:pPr>
              <w:pStyle w:val="TableRowCentered"/>
              <w:jc w:val="left"/>
              <w:rPr>
                <w:sz w:val="22"/>
              </w:rPr>
            </w:pPr>
            <w:r>
              <w:rPr>
                <w:b/>
                <w:i/>
                <w:sz w:val="22"/>
              </w:rPr>
              <w:t>Educational Endowment Foundation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1,2,5,6</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i/>
                <w:sz w:val="22"/>
              </w:rPr>
            </w:pPr>
            <w:r>
              <w:rPr>
                <w:b/>
                <w:i/>
                <w:sz w:val="22"/>
              </w:rPr>
              <w:t xml:space="preserve">Pastoral and Academic Interventions after each Data Collection Point to evaluate provision for disadvantaged pupils.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i/>
                <w:color w:val="404040" w:themeColor="text1" w:themeTint="BF"/>
                <w:sz w:val="22"/>
                <w:szCs w:val="22"/>
              </w:rPr>
              <w:t>"Our biggest concern will be around identifying gaps in learning so schemes can respond to student need in a student-centered approach. These assessments allow us to do this, as and when our students are ready."</w:t>
            </w:r>
            <w:r>
              <w:rPr>
                <w:color w:val="404040" w:themeColor="text1" w:themeTint="BF"/>
              </w:rPr>
              <w:t xml:space="preserve"> </w:t>
            </w:r>
            <w:r>
              <w:rPr>
                <w:b/>
                <w:i/>
                <w:color w:val="auto"/>
                <w:sz w:val="22"/>
                <w:szCs w:val="22"/>
              </w:rPr>
              <w:t>Bernadette Kaye, Literacy &amp; Evidence Informed Project Lead, South Shore Academy</w:t>
            </w:r>
            <w:r>
              <w:rPr>
                <w:color w:val="auto"/>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1,2,6</w:t>
            </w:r>
          </w:p>
        </w:tc>
      </w:tr>
    </w:tbl>
    <w:p>
      <w:pPr>
        <w:spacing w:after="0"/>
        <w:rPr>
          <w:b/>
          <w:color w:val="104F75"/>
          <w:sz w:val="28"/>
          <w:szCs w:val="28"/>
        </w:rPr>
      </w:pPr>
    </w:p>
    <w:p>
      <w:pPr>
        <w:rPr>
          <w:b/>
          <w:color w:val="104F75"/>
          <w:sz w:val="28"/>
          <w:szCs w:val="28"/>
        </w:rPr>
      </w:pPr>
      <w:r>
        <w:rPr>
          <w:b/>
          <w:color w:val="104F75"/>
          <w:sz w:val="28"/>
          <w:szCs w:val="28"/>
        </w:rPr>
        <w:t>Wider strategies (for example, related to attendance, behaviour, wellbeing)</w:t>
      </w:r>
    </w:p>
    <w:p>
      <w:pPr>
        <w:spacing w:before="240" w:after="120"/>
      </w:pPr>
      <w:r>
        <w:t>Budgeted cost: £12,547</w:t>
      </w:r>
    </w:p>
    <w:tbl>
      <w:tblPr>
        <w:tblW w:w="5000" w:type="pct"/>
        <w:tblCellMar>
          <w:left w:w="10" w:type="dxa"/>
          <w:right w:w="10" w:type="dxa"/>
        </w:tblCellMar>
        <w:tblLook w:val="04A0" w:firstRow="1" w:lastRow="0" w:firstColumn="1" w:lastColumn="0" w:noHBand="0" w:noVBand="1"/>
      </w:tblPr>
      <w:tblGrid>
        <w:gridCol w:w="2688"/>
        <w:gridCol w:w="4678"/>
        <w:gridCol w:w="2120"/>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iCs/>
                <w:sz w:val="22"/>
                <w:szCs w:val="22"/>
              </w:rPr>
              <w:lastRenderedPageBreak/>
              <w:t>Reopening of the Learning Resource Centre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‘Reading for pleasure has social benefits as well and can make people feel more connected to the wider community. Reading increases a person's understanding of their own identity, improves empathy and gives them an insight into the world view of others’ </w:t>
            </w:r>
          </w:p>
          <w:p>
            <w:pPr>
              <w:pStyle w:val="TableRowCentered"/>
              <w:jc w:val="left"/>
              <w:rPr>
                <w:b/>
                <w:i/>
                <w:sz w:val="22"/>
              </w:rPr>
            </w:pPr>
            <w:r>
              <w:rPr>
                <w:b/>
                <w:i/>
                <w:color w:val="auto"/>
                <w:sz w:val="22"/>
              </w:rPr>
              <w:t>The Reading Agency 2015.</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1,2,5,6</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iCs/>
                <w:sz w:val="22"/>
                <w:szCs w:val="22"/>
              </w:rPr>
            </w:pPr>
            <w:r>
              <w:rPr>
                <w:b/>
                <w:iCs/>
                <w:sz w:val="22"/>
                <w:szCs w:val="22"/>
              </w:rPr>
              <w:t>Specific Wellbeing Teaching in the Personal Development Curriculum supported by Enrichment Day activities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i/>
                <w:color w:val="595959" w:themeColor="text1" w:themeTint="A6"/>
                <w:sz w:val="22"/>
                <w:szCs w:val="30"/>
                <w:shd w:val="clear" w:color="auto" w:fill="FAFAFA"/>
              </w:rPr>
            </w:pPr>
            <w:r>
              <w:rPr>
                <w:rFonts w:cs="Arial"/>
                <w:i/>
                <w:color w:val="595959" w:themeColor="text1" w:themeTint="A6"/>
                <w:sz w:val="22"/>
                <w:szCs w:val="22"/>
                <w:shd w:val="clear" w:color="auto" w:fill="FAFAFA"/>
              </w:rPr>
              <w:t>‘Social and emotional learning approaches have a positive impact, on average, of 4 months’ additional progress in academic outcomes over the</w:t>
            </w:r>
            <w:r>
              <w:rPr>
                <w:rFonts w:ascii="Helvetica" w:hAnsi="Helvetica" w:cs="Helvetica"/>
                <w:color w:val="595959" w:themeColor="text1" w:themeTint="A6"/>
                <w:sz w:val="30"/>
                <w:szCs w:val="30"/>
                <w:shd w:val="clear" w:color="auto" w:fill="FAFAFA"/>
              </w:rPr>
              <w:t xml:space="preserve"> </w:t>
            </w:r>
            <w:r>
              <w:rPr>
                <w:rFonts w:cs="Arial"/>
                <w:i/>
                <w:color w:val="595959" w:themeColor="text1" w:themeTint="A6"/>
                <w:sz w:val="22"/>
                <w:szCs w:val="30"/>
                <w:shd w:val="clear" w:color="auto" w:fill="FAFAFA"/>
              </w:rPr>
              <w:t>course of an academic year.’</w:t>
            </w:r>
          </w:p>
          <w:p>
            <w:pPr>
              <w:pStyle w:val="TableRowCentered"/>
              <w:jc w:val="left"/>
              <w:rPr>
                <w:b/>
                <w:sz w:val="22"/>
              </w:rPr>
            </w:pPr>
            <w:r>
              <w:rPr>
                <w:rFonts w:cs="Arial"/>
                <w:b/>
                <w:i/>
                <w:color w:val="auto"/>
                <w:sz w:val="22"/>
                <w:szCs w:val="30"/>
                <w:shd w:val="clear" w:color="auto" w:fill="FAFAFA"/>
              </w:rPr>
              <w:t>EEF Toolkit: Social and Emotional Learning</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1,5,6,7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Appointment of two Pastoral Support Workers to work alongside Learning Managers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i/>
                <w:color w:val="404040" w:themeColor="text1" w:themeTint="BF"/>
                <w:sz w:val="22"/>
                <w:szCs w:val="30"/>
                <w:shd w:val="clear" w:color="auto" w:fill="FAFAFA"/>
              </w:rPr>
            </w:pPr>
            <w:r>
              <w:rPr>
                <w:rFonts w:cs="Arial"/>
                <w:i/>
                <w:color w:val="404040" w:themeColor="text1" w:themeTint="BF"/>
                <w:sz w:val="22"/>
                <w:szCs w:val="30"/>
                <w:shd w:val="clear" w:color="auto" w:fill="FAFAFA"/>
              </w:rPr>
              <w:t>‘Targeted approaches to SEL seem to have greater impacts on average’</w:t>
            </w:r>
          </w:p>
          <w:p>
            <w:pPr>
              <w:pStyle w:val="TableRowCentered"/>
              <w:jc w:val="left"/>
              <w:rPr>
                <w:rFonts w:cs="Arial"/>
                <w:i/>
                <w:sz w:val="22"/>
              </w:rPr>
            </w:pPr>
            <w:r>
              <w:rPr>
                <w:rFonts w:cs="Arial"/>
                <w:b/>
                <w:i/>
                <w:color w:val="auto"/>
                <w:sz w:val="22"/>
                <w:szCs w:val="30"/>
                <w:shd w:val="clear" w:color="auto" w:fill="FAFAFA"/>
              </w:rPr>
              <w:t>EEF Toolkit: Social and Emotional Learning</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1,5,7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Appointment of a new administration assistant who will focus on recording intervention and enrichment/extra-curricular data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i/>
                <w:color w:val="404040" w:themeColor="text1" w:themeTint="BF"/>
                <w:sz w:val="22"/>
                <w:szCs w:val="22"/>
                <w:shd w:val="clear" w:color="auto" w:fill="FAFAFA"/>
              </w:rPr>
            </w:pPr>
            <w:r>
              <w:rPr>
                <w:rFonts w:cs="Arial"/>
                <w:i/>
                <w:color w:val="404040" w:themeColor="text1" w:themeTint="BF"/>
                <w:sz w:val="22"/>
                <w:szCs w:val="22"/>
                <w:shd w:val="clear" w:color="auto" w:fill="FAFAFA"/>
              </w:rPr>
              <w:t>‘There is evidence that digital technology can be used effectively to provide individualised instruction. Many of these studies use digital technology alongside small group tuition, with teachers providing targeted instruction to the pupils that are not engaging with the technology.’</w:t>
            </w:r>
          </w:p>
          <w:p>
            <w:pPr>
              <w:pStyle w:val="TableRowCentered"/>
              <w:jc w:val="left"/>
              <w:rPr>
                <w:rFonts w:cs="Arial"/>
                <w:b/>
                <w:i/>
                <w:sz w:val="22"/>
                <w:szCs w:val="22"/>
              </w:rPr>
            </w:pPr>
            <w:r>
              <w:rPr>
                <w:rFonts w:cs="Arial"/>
                <w:b/>
                <w:i/>
                <w:color w:val="auto"/>
                <w:sz w:val="22"/>
                <w:szCs w:val="22"/>
                <w:shd w:val="clear" w:color="auto" w:fill="FAFAFA"/>
              </w:rPr>
              <w:t>EEF Toolkit: Individualised Instruction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1, 5</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Councillors hours extended to full time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i/>
                <w:color w:val="6F6F6F"/>
                <w:sz w:val="22"/>
                <w:shd w:val="clear" w:color="auto" w:fill="FFFFFF"/>
              </w:rPr>
            </w:pPr>
            <w:r>
              <w:rPr>
                <w:rFonts w:cs="Arial"/>
                <w:i/>
                <w:color w:val="6F6F6F"/>
                <w:sz w:val="22"/>
                <w:shd w:val="clear" w:color="auto" w:fill="FFFFFF"/>
              </w:rPr>
              <w:t>‘Resilient pupils were also more likely to have a growth mindset. That is, resilient pupils recognise challenges as external, understanding they can be confronted and tackled. They believe that their efforts at school contribute to their success in school and the future.’</w:t>
            </w:r>
          </w:p>
          <w:p>
            <w:pPr>
              <w:pStyle w:val="TableRowCentered"/>
              <w:ind w:left="0"/>
              <w:jc w:val="left"/>
              <w:rPr>
                <w:b/>
                <w:i/>
                <w:sz w:val="22"/>
              </w:rPr>
            </w:pPr>
            <w:hyperlink r:id="rId7" w:history="1">
              <w:r>
                <w:rPr>
                  <w:rFonts w:cs="Arial"/>
                  <w:b/>
                  <w:i/>
                  <w:color w:val="595959" w:themeColor="text1" w:themeTint="A6"/>
                  <w:sz w:val="22"/>
                  <w:szCs w:val="24"/>
                  <w:shd w:val="clear" w:color="auto" w:fill="FFFFFF"/>
                </w:rPr>
                <w:t>NFER research</w:t>
              </w:r>
            </w:hyperlink>
            <w:r>
              <w:rPr>
                <w:b/>
                <w:i/>
                <w:color w:val="595959" w:themeColor="text1" w:themeTint="A6"/>
                <w:sz w:val="22"/>
                <w:szCs w:val="24"/>
              </w:rPr>
              <w:t xml:space="preserve"> (2018)</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5,6,7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Strategies employed to monitor and improve attendance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The attendance officer and Learning Managers apply strategies to support attendance such as the funding of transport and first day response.</w:t>
            </w:r>
          </w:p>
          <w:p>
            <w:pPr>
              <w:pStyle w:val="TableRowCentered"/>
              <w:jc w:val="left"/>
              <w:rPr>
                <w:rFonts w:cs="Arial"/>
                <w:i/>
                <w:color w:val="404040" w:themeColor="text1" w:themeTint="BF"/>
                <w:sz w:val="22"/>
                <w:szCs w:val="29"/>
                <w:shd w:val="clear" w:color="auto" w:fill="FFFFFF"/>
              </w:rPr>
            </w:pPr>
            <w:r>
              <w:rPr>
                <w:rFonts w:cs="Arial"/>
                <w:i/>
                <w:color w:val="404040" w:themeColor="text1" w:themeTint="BF"/>
                <w:sz w:val="22"/>
                <w:szCs w:val="29"/>
                <w:shd w:val="clear" w:color="auto" w:fill="FFFFFF"/>
              </w:rPr>
              <w:t>‘Make sure escalation procedures to address absence are initiated proactively, understood by pupils and families, implemented consistently and their impact reviewed regularly.’</w:t>
            </w:r>
          </w:p>
          <w:p>
            <w:pPr>
              <w:pStyle w:val="TableRowCentered"/>
              <w:jc w:val="left"/>
              <w:rPr>
                <w:rFonts w:cs="Arial"/>
                <w:i/>
                <w:color w:val="404040" w:themeColor="text1" w:themeTint="BF"/>
                <w:sz w:val="22"/>
                <w:szCs w:val="29"/>
                <w:shd w:val="clear" w:color="auto" w:fill="FFFFFF"/>
              </w:rPr>
            </w:pPr>
            <w:r>
              <w:rPr>
                <w:rFonts w:cs="Arial"/>
                <w:i/>
                <w:color w:val="404040" w:themeColor="text1" w:themeTint="BF"/>
                <w:sz w:val="22"/>
                <w:szCs w:val="29"/>
                <w:shd w:val="clear" w:color="auto" w:fill="FFFFFF"/>
              </w:rPr>
              <w:t>‘Robust school systems provide useful data at cohort, group and individual pupil level to give an accurate view of attendance, reasons for absence and patterns amongst groups’</w:t>
            </w:r>
          </w:p>
          <w:p>
            <w:pPr>
              <w:pStyle w:val="TableRowCentered"/>
              <w:jc w:val="left"/>
              <w:rPr>
                <w:rFonts w:cs="Arial"/>
                <w:i/>
                <w:color w:val="404040" w:themeColor="text1" w:themeTint="BF"/>
                <w:sz w:val="22"/>
                <w:szCs w:val="29"/>
                <w:shd w:val="clear" w:color="auto" w:fill="FFFFFF"/>
              </w:rPr>
            </w:pPr>
            <w:r>
              <w:rPr>
                <w:rFonts w:cs="Arial"/>
                <w:i/>
                <w:color w:val="404040" w:themeColor="text1" w:themeTint="BF"/>
                <w:sz w:val="22"/>
                <w:szCs w:val="29"/>
                <w:shd w:val="clear" w:color="auto" w:fill="FFFFFF"/>
              </w:rPr>
              <w:t xml:space="preserve">‘Monitor and analyse attendance data regularly to allow early intervention to address issues. This includes raising concerns with other agencies like children’s </w:t>
            </w:r>
            <w:r>
              <w:rPr>
                <w:rFonts w:cs="Arial"/>
                <w:i/>
                <w:color w:val="404040" w:themeColor="text1" w:themeTint="BF"/>
                <w:sz w:val="22"/>
                <w:szCs w:val="29"/>
                <w:shd w:val="clear" w:color="auto" w:fill="FFFFFF"/>
              </w:rPr>
              <w:lastRenderedPageBreak/>
              <w:t>social care and early help services which are working with families.’</w:t>
            </w:r>
          </w:p>
          <w:p>
            <w:pPr>
              <w:pStyle w:val="Heading1"/>
              <w:shd w:val="clear" w:color="auto" w:fill="FFFFFF" w:themeFill="background1"/>
              <w:spacing w:after="0"/>
              <w:rPr>
                <w:rFonts w:cs="Arial"/>
                <w:i/>
                <w:color w:val="404040" w:themeColor="text1" w:themeTint="BF"/>
                <w:sz w:val="22"/>
                <w:szCs w:val="29"/>
                <w:shd w:val="clear" w:color="auto" w:fill="FFFFFF"/>
              </w:rPr>
            </w:pPr>
            <w:r>
              <w:rPr>
                <w:rFonts w:cs="Arial"/>
                <w:i/>
                <w:color w:val="404040" w:themeColor="text1" w:themeTint="BF"/>
                <w:sz w:val="22"/>
                <w:szCs w:val="29"/>
                <w:shd w:val="clear" w:color="auto" w:fill="FFFFFF"/>
              </w:rPr>
              <w:t>DfE: Improving school attendance: support for schools and local authorities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lastRenderedPageBreak/>
              <w:t>1,4</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rPr>
            </w:pPr>
            <w:r>
              <w:rPr>
                <w:b/>
                <w:sz w:val="22"/>
              </w:rPr>
              <w:t>One to One Careers Support from Year 9 (pre-options) to support disadvantaged pupils and ensure that aspirational pathways can be supported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auto"/>
                <w:sz w:val="22"/>
                <w:szCs w:val="30"/>
                <w:shd w:val="clear" w:color="auto" w:fill="FAFAFA"/>
              </w:rPr>
            </w:pPr>
            <w:r>
              <w:rPr>
                <w:rFonts w:cs="Arial"/>
                <w:color w:val="auto"/>
                <w:sz w:val="22"/>
                <w:szCs w:val="30"/>
                <w:shd w:val="clear" w:color="auto" w:fill="FAFAFA"/>
              </w:rPr>
              <w:t>Disadvantaged pupils are offered multiple opportunities to receive qualified independent careers advice.</w:t>
            </w:r>
          </w:p>
          <w:p>
            <w:pPr>
              <w:pStyle w:val="TableRowCentered"/>
              <w:jc w:val="left"/>
              <w:rPr>
                <w:rFonts w:cs="Arial"/>
                <w:color w:val="404040" w:themeColor="text1" w:themeTint="BF"/>
                <w:sz w:val="22"/>
                <w:szCs w:val="30"/>
                <w:shd w:val="clear" w:color="auto" w:fill="FAFAFA"/>
              </w:rPr>
            </w:pPr>
            <w:r>
              <w:rPr>
                <w:rFonts w:cs="Arial"/>
                <w:i/>
                <w:color w:val="404040" w:themeColor="text1" w:themeTint="BF"/>
                <w:sz w:val="22"/>
                <w:szCs w:val="30"/>
                <w:shd w:val="clear" w:color="auto" w:fill="FAFAFA"/>
              </w:rPr>
              <w:t>‘Most young people have high aspirations for themselves. Ensuring</w:t>
            </w:r>
            <w:r>
              <w:rPr>
                <w:rFonts w:cs="Arial"/>
                <w:color w:val="404040" w:themeColor="text1" w:themeTint="BF"/>
                <w:sz w:val="22"/>
                <w:szCs w:val="30"/>
                <w:shd w:val="clear" w:color="auto" w:fill="FAFAFA"/>
              </w:rPr>
              <w:t xml:space="preserve"> </w:t>
            </w:r>
            <w:r>
              <w:rPr>
                <w:rFonts w:cs="Arial"/>
                <w:i/>
                <w:color w:val="404040" w:themeColor="text1" w:themeTint="BF"/>
                <w:sz w:val="22"/>
                <w:szCs w:val="30"/>
                <w:shd w:val="clear" w:color="auto" w:fill="FAFAFA"/>
              </w:rPr>
              <w:t>that students have the knowledge and skills to progress towards their aspirations is likely to be more effective than intervening to change the aspirations themselves’</w:t>
            </w:r>
            <w:r>
              <w:rPr>
                <w:rFonts w:cs="Arial"/>
                <w:color w:val="404040" w:themeColor="text1" w:themeTint="BF"/>
                <w:sz w:val="22"/>
                <w:szCs w:val="30"/>
                <w:shd w:val="clear" w:color="auto" w:fill="FAFAFA"/>
              </w:rPr>
              <w:t xml:space="preserve"> </w:t>
            </w:r>
          </w:p>
          <w:p>
            <w:pPr>
              <w:pStyle w:val="TableRowCentered"/>
              <w:jc w:val="left"/>
              <w:rPr>
                <w:rFonts w:cs="Arial"/>
                <w:color w:val="auto"/>
                <w:sz w:val="22"/>
              </w:rPr>
            </w:pPr>
            <w:r>
              <w:rPr>
                <w:rFonts w:cs="Arial"/>
                <w:b/>
                <w:i/>
                <w:color w:val="auto"/>
                <w:sz w:val="22"/>
                <w:szCs w:val="30"/>
                <w:shd w:val="clear" w:color="auto" w:fill="FAFAFA"/>
              </w:rPr>
              <w:t>EEF Toolkit: Aspiration Interventions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1,8</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i/>
                <w:sz w:val="22"/>
              </w:rPr>
            </w:pPr>
            <w:r>
              <w:rPr>
                <w:b/>
                <w:i/>
                <w:sz w:val="22"/>
              </w:rPr>
              <w:t>Specific representation through Student Council and Pupil Voice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
                <w:color w:val="404040" w:themeColor="text1" w:themeTint="BF"/>
                <w:sz w:val="22"/>
              </w:rPr>
            </w:pPr>
            <w:r>
              <w:rPr>
                <w:i/>
                <w:color w:val="404040" w:themeColor="text1" w:themeTint="BF"/>
                <w:sz w:val="22"/>
              </w:rPr>
              <w:t xml:space="preserve">‘These pupils like being noticed, considered important and appreciated - a member of staff knowing your name and talking to you, that seems to be the most impactful. It shows you are important.’ </w:t>
            </w:r>
          </w:p>
          <w:p>
            <w:pPr>
              <w:pStyle w:val="TableRowCentered"/>
              <w:jc w:val="left"/>
              <w:rPr>
                <w:b/>
                <w:i/>
                <w:sz w:val="22"/>
              </w:rPr>
            </w:pPr>
            <w:r>
              <w:rPr>
                <w:b/>
                <w:i/>
                <w:sz w:val="22"/>
              </w:rPr>
              <w:t>Research to understand successful approaches to supporting the most academically able disadvantaged pupils: University of Warwick</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i/>
                <w:sz w:val="22"/>
              </w:rPr>
            </w:pPr>
            <w:r>
              <w:rPr>
                <w:b/>
                <w:i/>
                <w:sz w:val="22"/>
              </w:rPr>
              <w:t>Track and monitor rewards  and sanctions to meet and address challenges with the support of pastoral staff</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i/>
                <w:color w:val="263238"/>
                <w:sz w:val="22"/>
                <w:szCs w:val="30"/>
                <w:shd w:val="clear" w:color="auto" w:fill="FFFFFF"/>
              </w:rPr>
            </w:pPr>
            <w:r>
              <w:rPr>
                <w:rFonts w:ascii="Helvetica" w:hAnsi="Helvetica" w:cs="Helvetica"/>
                <w:color w:val="263238"/>
                <w:sz w:val="30"/>
                <w:szCs w:val="30"/>
                <w:shd w:val="clear" w:color="auto" w:fill="FFFFFF"/>
              </w:rPr>
              <w:t>‘</w:t>
            </w:r>
            <w:r>
              <w:rPr>
                <w:rFonts w:cs="Arial"/>
                <w:i/>
                <w:color w:val="263238"/>
                <w:sz w:val="22"/>
                <w:szCs w:val="30"/>
                <w:shd w:val="clear" w:color="auto" w:fill="FFFFFF"/>
              </w:rPr>
              <w:t>Some pupils will require more specialist support to help manage their self-regulation or social and emotional skills.’</w:t>
            </w:r>
          </w:p>
          <w:p>
            <w:pPr>
              <w:pStyle w:val="TableRowCentered"/>
              <w:jc w:val="left"/>
              <w:rPr>
                <w:rFonts w:cs="Arial"/>
                <w:b/>
                <w:i/>
                <w:sz w:val="22"/>
                <w:szCs w:val="22"/>
              </w:rPr>
            </w:pPr>
            <w:r>
              <w:rPr>
                <w:rFonts w:ascii="Helvetica" w:hAnsi="Helvetica" w:cs="Helvetica"/>
                <w:b/>
                <w:i/>
                <w:color w:val="auto"/>
                <w:sz w:val="22"/>
                <w:szCs w:val="22"/>
                <w:shd w:val="clear" w:color="auto" w:fill="FFFFFF"/>
              </w:rPr>
              <w:t>EEF Toolkit:</w:t>
            </w:r>
            <w:r>
              <w:rPr>
                <w:b/>
                <w:i/>
                <w:color w:val="auto"/>
                <w:sz w:val="22"/>
                <w:szCs w:val="22"/>
              </w:rPr>
              <w:t xml:space="preserve"> Behaviour Interventions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i/>
                <w:sz w:val="22"/>
              </w:rPr>
            </w:pPr>
            <w:r>
              <w:rPr>
                <w:b/>
                <w:i/>
                <w:sz w:val="22"/>
              </w:rPr>
              <w:t>Facilitate the building of Cultural Capital for disadvantaged pupils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Helvetica" w:hAnsi="Helvetica" w:cs="Helvetica"/>
                <w:i/>
                <w:color w:val="263238"/>
                <w:sz w:val="22"/>
                <w:szCs w:val="30"/>
                <w:shd w:val="clear" w:color="auto" w:fill="FFFFFF"/>
              </w:rPr>
            </w:pPr>
            <w:r>
              <w:rPr>
                <w:sz w:val="22"/>
              </w:rPr>
              <w:t>‘</w:t>
            </w:r>
            <w:r>
              <w:rPr>
                <w:rFonts w:ascii="Helvetica" w:hAnsi="Helvetica" w:cs="Helvetica"/>
                <w:i/>
                <w:color w:val="263238"/>
                <w:sz w:val="22"/>
                <w:szCs w:val="30"/>
                <w:shd w:val="clear" w:color="auto" w:fill="FFFFFF"/>
              </w:rPr>
              <w:t xml:space="preserve">Wider benefits such as more positive attitudes to learning and increased well-being have also consistently been reported.’ </w:t>
            </w:r>
          </w:p>
          <w:p>
            <w:pPr>
              <w:pStyle w:val="TableRowCentered"/>
              <w:jc w:val="left"/>
              <w:rPr>
                <w:b/>
                <w:i/>
                <w:sz w:val="22"/>
              </w:rPr>
            </w:pPr>
            <w:r>
              <w:rPr>
                <w:rFonts w:ascii="Helvetica" w:hAnsi="Helvetica" w:cs="Helvetica"/>
                <w:b/>
                <w:i/>
                <w:color w:val="auto"/>
                <w:sz w:val="22"/>
                <w:szCs w:val="30"/>
                <w:shd w:val="clear" w:color="auto" w:fill="FFFFFF"/>
              </w:rPr>
              <w:t>EEF Toolkit: Arts Education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4,6,7</w:t>
            </w:r>
          </w:p>
        </w:tc>
      </w:tr>
    </w:tbl>
    <w:p>
      <w:pPr>
        <w:spacing w:before="240" w:after="0"/>
        <w:rPr>
          <w:b/>
          <w:bCs/>
          <w:color w:val="104F75"/>
          <w:sz w:val="28"/>
          <w:szCs w:val="28"/>
        </w:rPr>
      </w:pPr>
    </w:p>
    <w:p>
      <w:r>
        <w:rPr>
          <w:b/>
          <w:bCs/>
          <w:color w:val="104F75"/>
          <w:sz w:val="28"/>
          <w:szCs w:val="28"/>
        </w:rPr>
        <w:t xml:space="preserve">Total budgeted cost: £ </w:t>
      </w:r>
      <w:r>
        <w:rPr>
          <w:i/>
          <w:iCs/>
          <w:color w:val="104F75"/>
          <w:sz w:val="28"/>
          <w:szCs w:val="28"/>
        </w:rPr>
        <w:t>107,055</w:t>
      </w:r>
    </w:p>
    <w:p>
      <w:pPr>
        <w:pStyle w:val="Heading1"/>
      </w:pPr>
      <w:r>
        <w:lastRenderedPageBreak/>
        <w:t>Part B: Review of outcomes in the previous academic year</w:t>
      </w:r>
    </w:p>
    <w:p>
      <w:pPr>
        <w:pStyle w:val="Heading2"/>
      </w:pPr>
      <w:r>
        <w:t>Pupil premium strategy outcomes</w:t>
      </w:r>
    </w:p>
    <w:p>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i/>
              </w:rPr>
            </w:pPr>
            <w:r>
              <w:rPr>
                <w:i/>
              </w:rPr>
              <w:t>Outcomes from TAG’s 2021</w:t>
            </w:r>
          </w:p>
          <w:tbl>
            <w:tblPr>
              <w:tblStyle w:val="TableGrid"/>
              <w:tblW w:w="0" w:type="auto"/>
              <w:tblLook w:val="04A0" w:firstRow="1" w:lastRow="0" w:firstColumn="1" w:lastColumn="0" w:noHBand="0" w:noVBand="1"/>
            </w:tblPr>
            <w:tblGrid>
              <w:gridCol w:w="2316"/>
              <w:gridCol w:w="2317"/>
              <w:gridCol w:w="2317"/>
              <w:gridCol w:w="2317"/>
            </w:tblGrid>
            <w:tr>
              <w:tc>
                <w:tcPr>
                  <w:tcW w:w="2316" w:type="dxa"/>
                  <w:shd w:val="clear" w:color="auto" w:fill="D9D9D9" w:themeFill="background1" w:themeFillShade="D9"/>
                  <w:vAlign w:val="center"/>
                </w:tcPr>
                <w:p>
                  <w:pPr>
                    <w:jc w:val="center"/>
                    <w:rPr>
                      <w:i/>
                      <w:color w:val="404040" w:themeColor="text1" w:themeTint="BF"/>
                      <w:sz w:val="20"/>
                      <w:lang w:eastAsia="en-US"/>
                    </w:rPr>
                  </w:pPr>
                </w:p>
              </w:tc>
              <w:tc>
                <w:tcPr>
                  <w:tcW w:w="2317" w:type="dxa"/>
                  <w:shd w:val="clear" w:color="auto" w:fill="D9D9D9" w:themeFill="background1" w:themeFillShade="D9"/>
                  <w:vAlign w:val="center"/>
                </w:tcPr>
                <w:p>
                  <w:pPr>
                    <w:jc w:val="center"/>
                    <w:rPr>
                      <w:i/>
                      <w:color w:val="404040" w:themeColor="text1" w:themeTint="BF"/>
                      <w:sz w:val="20"/>
                      <w:lang w:eastAsia="en-US"/>
                    </w:rPr>
                  </w:pPr>
                  <w:r>
                    <w:rPr>
                      <w:i/>
                      <w:color w:val="404040" w:themeColor="text1" w:themeTint="BF"/>
                      <w:sz w:val="20"/>
                      <w:lang w:eastAsia="en-US"/>
                    </w:rPr>
                    <w:t>A8</w:t>
                  </w:r>
                </w:p>
              </w:tc>
              <w:tc>
                <w:tcPr>
                  <w:tcW w:w="2317" w:type="dxa"/>
                  <w:shd w:val="clear" w:color="auto" w:fill="D9D9D9" w:themeFill="background1" w:themeFillShade="D9"/>
                  <w:vAlign w:val="center"/>
                </w:tcPr>
                <w:p>
                  <w:pPr>
                    <w:jc w:val="center"/>
                    <w:rPr>
                      <w:i/>
                      <w:color w:val="404040" w:themeColor="text1" w:themeTint="BF"/>
                      <w:sz w:val="20"/>
                      <w:lang w:eastAsia="en-US"/>
                    </w:rPr>
                  </w:pPr>
                  <w:r>
                    <w:rPr>
                      <w:i/>
                      <w:color w:val="404040" w:themeColor="text1" w:themeTint="BF"/>
                      <w:sz w:val="20"/>
                      <w:lang w:eastAsia="en-US"/>
                    </w:rPr>
                    <w:t>P8</w:t>
                  </w:r>
                </w:p>
              </w:tc>
              <w:tc>
                <w:tcPr>
                  <w:tcW w:w="2317" w:type="dxa"/>
                  <w:shd w:val="clear" w:color="auto" w:fill="D9D9D9" w:themeFill="background1" w:themeFillShade="D9"/>
                  <w:vAlign w:val="center"/>
                </w:tcPr>
                <w:p>
                  <w:pPr>
                    <w:jc w:val="center"/>
                    <w:rPr>
                      <w:i/>
                      <w:color w:val="404040" w:themeColor="text1" w:themeTint="BF"/>
                      <w:sz w:val="20"/>
                      <w:lang w:eastAsia="en-US"/>
                    </w:rPr>
                  </w:pPr>
                  <w:r>
                    <w:rPr>
                      <w:i/>
                      <w:color w:val="404040" w:themeColor="text1" w:themeTint="BF"/>
                      <w:sz w:val="20"/>
                      <w:lang w:eastAsia="en-US"/>
                    </w:rPr>
                    <w:t>% achieved the EBacc at Grade 4+</w:t>
                  </w:r>
                </w:p>
              </w:tc>
            </w:tr>
            <w:tr>
              <w:tc>
                <w:tcPr>
                  <w:tcW w:w="2316" w:type="dxa"/>
                  <w:vAlign w:val="center"/>
                </w:tcPr>
                <w:p>
                  <w:pPr>
                    <w:jc w:val="center"/>
                    <w:rPr>
                      <w:i/>
                      <w:sz w:val="20"/>
                      <w:lang w:eastAsia="en-US"/>
                    </w:rPr>
                  </w:pPr>
                  <w:r>
                    <w:rPr>
                      <w:i/>
                      <w:sz w:val="20"/>
                      <w:lang w:eastAsia="en-US"/>
                    </w:rPr>
                    <w:t>Disadvantaged</w:t>
                  </w:r>
                </w:p>
              </w:tc>
              <w:tc>
                <w:tcPr>
                  <w:tcW w:w="2317" w:type="dxa"/>
                  <w:vAlign w:val="center"/>
                </w:tcPr>
                <w:p>
                  <w:pPr>
                    <w:jc w:val="center"/>
                    <w:rPr>
                      <w:i/>
                      <w:sz w:val="20"/>
                      <w:lang w:eastAsia="en-US"/>
                    </w:rPr>
                  </w:pPr>
                  <w:r>
                    <w:rPr>
                      <w:i/>
                      <w:sz w:val="20"/>
                      <w:lang w:eastAsia="en-US"/>
                    </w:rPr>
                    <w:t>51.5</w:t>
                  </w:r>
                </w:p>
              </w:tc>
              <w:tc>
                <w:tcPr>
                  <w:tcW w:w="2317" w:type="dxa"/>
                  <w:vAlign w:val="center"/>
                </w:tcPr>
                <w:p>
                  <w:pPr>
                    <w:jc w:val="center"/>
                    <w:rPr>
                      <w:i/>
                      <w:sz w:val="20"/>
                      <w:lang w:eastAsia="en-US"/>
                    </w:rPr>
                  </w:pPr>
                  <w:r>
                    <w:rPr>
                      <w:i/>
                      <w:sz w:val="20"/>
                      <w:lang w:eastAsia="en-US"/>
                    </w:rPr>
                    <w:t>+0.05</w:t>
                  </w:r>
                </w:p>
              </w:tc>
              <w:tc>
                <w:tcPr>
                  <w:tcW w:w="2317" w:type="dxa"/>
                  <w:vAlign w:val="center"/>
                </w:tcPr>
                <w:p>
                  <w:pPr>
                    <w:jc w:val="center"/>
                    <w:rPr>
                      <w:i/>
                      <w:sz w:val="20"/>
                      <w:lang w:eastAsia="en-US"/>
                    </w:rPr>
                  </w:pPr>
                  <w:r>
                    <w:rPr>
                      <w:i/>
                      <w:sz w:val="20"/>
                      <w:lang w:eastAsia="en-US"/>
                    </w:rPr>
                    <w:t>18%</w:t>
                  </w:r>
                </w:p>
              </w:tc>
            </w:tr>
            <w:tr>
              <w:tc>
                <w:tcPr>
                  <w:tcW w:w="2316" w:type="dxa"/>
                  <w:vAlign w:val="center"/>
                </w:tcPr>
                <w:p>
                  <w:pPr>
                    <w:jc w:val="center"/>
                    <w:rPr>
                      <w:i/>
                      <w:sz w:val="20"/>
                      <w:lang w:eastAsia="en-US"/>
                    </w:rPr>
                  </w:pPr>
                  <w:r>
                    <w:rPr>
                      <w:i/>
                      <w:sz w:val="20"/>
                      <w:lang w:eastAsia="en-US"/>
                    </w:rPr>
                    <w:t>Non-Disadvantaged</w:t>
                  </w:r>
                </w:p>
              </w:tc>
              <w:tc>
                <w:tcPr>
                  <w:tcW w:w="2317" w:type="dxa"/>
                  <w:vAlign w:val="center"/>
                </w:tcPr>
                <w:p>
                  <w:pPr>
                    <w:jc w:val="center"/>
                    <w:rPr>
                      <w:i/>
                      <w:sz w:val="20"/>
                      <w:lang w:eastAsia="en-US"/>
                    </w:rPr>
                  </w:pPr>
                  <w:r>
                    <w:rPr>
                      <w:i/>
                      <w:sz w:val="20"/>
                      <w:lang w:eastAsia="en-US"/>
                    </w:rPr>
                    <w:t>58.49</w:t>
                  </w:r>
                </w:p>
              </w:tc>
              <w:tc>
                <w:tcPr>
                  <w:tcW w:w="2317" w:type="dxa"/>
                  <w:vAlign w:val="center"/>
                </w:tcPr>
                <w:p>
                  <w:pPr>
                    <w:jc w:val="center"/>
                    <w:rPr>
                      <w:i/>
                      <w:sz w:val="20"/>
                      <w:lang w:eastAsia="en-US"/>
                    </w:rPr>
                  </w:pPr>
                  <w:r>
                    <w:rPr>
                      <w:i/>
                      <w:sz w:val="20"/>
                      <w:lang w:eastAsia="en-US"/>
                    </w:rPr>
                    <w:t>+0.68</w:t>
                  </w:r>
                </w:p>
              </w:tc>
              <w:tc>
                <w:tcPr>
                  <w:tcW w:w="2317" w:type="dxa"/>
                  <w:vAlign w:val="center"/>
                </w:tcPr>
                <w:p>
                  <w:pPr>
                    <w:jc w:val="center"/>
                    <w:rPr>
                      <w:i/>
                      <w:sz w:val="20"/>
                      <w:lang w:eastAsia="en-US"/>
                    </w:rPr>
                  </w:pPr>
                  <w:r>
                    <w:rPr>
                      <w:i/>
                      <w:sz w:val="20"/>
                      <w:lang w:eastAsia="en-US"/>
                    </w:rPr>
                    <w:t>15%</w:t>
                  </w:r>
                </w:p>
              </w:tc>
            </w:tr>
          </w:tbl>
          <w:p>
            <w:pPr>
              <w:rPr>
                <w:i/>
              </w:rPr>
            </w:pPr>
            <w:r>
              <w:rPr>
                <w:i/>
                <w:sz w:val="20"/>
                <w:lang w:eastAsia="en-US"/>
              </w:rPr>
              <w:t xml:space="preserve"> </w:t>
            </w:r>
          </w:p>
        </w:tc>
      </w:tr>
    </w:tbl>
    <w:p>
      <w:pPr>
        <w:pStyle w:val="Heading2"/>
        <w:spacing w:before="600"/>
      </w:pPr>
      <w:r>
        <w:t>Externally provided programmes</w:t>
      </w:r>
    </w:p>
    <w:p>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Provider</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
        </w:tc>
      </w:tr>
    </w:tbl>
    <w:p>
      <w:pPr>
        <w:pStyle w:val="Heading2"/>
        <w:spacing w:before="600"/>
      </w:pPr>
      <w:r>
        <w:t>Service pupil premium funding (optional)</w:t>
      </w:r>
    </w:p>
    <w:p>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rPr>
                <w:bCs/>
              </w:rPr>
              <w:t xml:space="preserve">Details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
        </w:tc>
      </w:tr>
      <w:bookmarkEnd w:id="18"/>
    </w:tbl>
    <w:p/>
    <w:p>
      <w:pPr>
        <w:spacing w:after="0" w:line="240" w:lineRule="auto"/>
      </w:pPr>
    </w:p>
    <w:p>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pPr>
              <w:spacing w:before="120" w:after="120"/>
              <w:rPr>
                <w:i/>
                <w:iCs/>
              </w:rPr>
            </w:pPr>
          </w:p>
        </w:tc>
      </w:tr>
      <w:bookmarkEnd w:id="14"/>
      <w:bookmarkEnd w:id="15"/>
      <w:bookmarkEnd w:id="16"/>
    </w:tbl>
    <w:p/>
    <w:sectPr>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firstLine="4513"/>
    </w:pPr>
    <w:r>
      <w:fldChar w:fldCharType="begin"/>
    </w:r>
    <w:r>
      <w:instrText xml:space="preserve"> PAGE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4F5CEB"/>
    <w:multiLevelType w:val="hybridMultilevel"/>
    <w:tmpl w:val="DFF2C7B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811145"/>
    <w:multiLevelType w:val="hybridMultilevel"/>
    <w:tmpl w:val="8128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1108">
      <w:bodyDiv w:val="1"/>
      <w:marLeft w:val="0"/>
      <w:marRight w:val="0"/>
      <w:marTop w:val="0"/>
      <w:marBottom w:val="0"/>
      <w:divBdr>
        <w:top w:val="none" w:sz="0" w:space="0" w:color="auto"/>
        <w:left w:val="none" w:sz="0" w:space="0" w:color="auto"/>
        <w:bottom w:val="none" w:sz="0" w:space="0" w:color="auto"/>
        <w:right w:val="none" w:sz="0" w:space="0" w:color="auto"/>
      </w:divBdr>
    </w:div>
    <w:div w:id="1331716323">
      <w:bodyDiv w:val="1"/>
      <w:marLeft w:val="0"/>
      <w:marRight w:val="0"/>
      <w:marTop w:val="0"/>
      <w:marBottom w:val="0"/>
      <w:divBdr>
        <w:top w:val="none" w:sz="0" w:space="0" w:color="auto"/>
        <w:left w:val="none" w:sz="0" w:space="0" w:color="auto"/>
        <w:bottom w:val="none" w:sz="0" w:space="0" w:color="auto"/>
        <w:right w:val="none" w:sz="0" w:space="0" w:color="auto"/>
      </w:divBdr>
    </w:div>
    <w:div w:id="195980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fer.ac.uk/pisa-2018-additional-analyses-what-differentiates-disadvantaged-pupils-who-do-well-in-pisa-from-those-who-do-n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Alison Cooper</cp:lastModifiedBy>
  <cp:revision>2</cp:revision>
  <cp:lastPrinted>2021-12-13T15:02:00Z</cp:lastPrinted>
  <dcterms:created xsi:type="dcterms:W3CDTF">2022-02-02T13:30:00Z</dcterms:created>
  <dcterms:modified xsi:type="dcterms:W3CDTF">2022-02-02T13:30:00Z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